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15" w:rsidRPr="00615C15" w:rsidRDefault="00615C15" w:rsidP="00615C15">
      <w:pPr>
        <w:pStyle w:val="NormalWeb"/>
        <w:spacing w:before="0" w:beforeAutospacing="0" w:after="120" w:afterAutospacing="0"/>
        <w:rPr>
          <w:rStyle w:val="Emphasis"/>
          <w:rFonts w:ascii="Arial" w:hAnsi="Arial" w:cs="Arial"/>
          <w:i w:val="0"/>
          <w:color w:val="000000" w:themeColor="text1"/>
          <w:sz w:val="20"/>
          <w:szCs w:val="20"/>
        </w:rPr>
      </w:pPr>
      <w:r w:rsidRPr="00615C15">
        <w:rPr>
          <w:rFonts w:ascii="Arial" w:hAnsi="Arial" w:cs="Arial"/>
          <w:color w:val="000000" w:themeColor="text1"/>
          <w:sz w:val="20"/>
          <w:szCs w:val="20"/>
        </w:rPr>
        <w:t xml:space="preserve">Below are 4 key points from the text complexity research presented in the </w:t>
      </w:r>
      <w:r w:rsidRPr="00615C15">
        <w:rPr>
          <w:rStyle w:val="Emphasis"/>
          <w:rFonts w:ascii="Arial" w:hAnsi="Arial" w:cs="Arial"/>
          <w:color w:val="000000" w:themeColor="text1"/>
          <w:sz w:val="20"/>
          <w:szCs w:val="20"/>
        </w:rPr>
        <w:t>Supplemental Information for Appendix A of the Common Core State Standards for English Language Arts and Literacy: New Research on Text Complexity</w:t>
      </w:r>
      <w:r w:rsidRPr="00615C15">
        <w:rPr>
          <w:rStyle w:val="Emphasis"/>
          <w:rFonts w:ascii="Arial" w:hAnsi="Arial" w:cs="Arial"/>
          <w:i w:val="0"/>
          <w:color w:val="000000" w:themeColor="text1"/>
          <w:sz w:val="20"/>
          <w:szCs w:val="20"/>
        </w:rPr>
        <w:t xml:space="preserve"> (</w:t>
      </w:r>
      <w:hyperlink r:id="rId5" w:history="1">
        <w:r w:rsidRPr="00615C15">
          <w:rPr>
            <w:rStyle w:val="Hyperlink"/>
            <w:rFonts w:ascii="Arial" w:hAnsi="Arial" w:cs="Arial"/>
            <w:sz w:val="20"/>
            <w:szCs w:val="20"/>
          </w:rPr>
          <w:t>www.corestandards.org/resources</w:t>
        </w:r>
      </w:hyperlink>
      <w:r w:rsidRPr="00615C15">
        <w:rPr>
          <w:rStyle w:val="Emphasis"/>
          <w:rFonts w:ascii="Arial" w:hAnsi="Arial" w:cs="Arial"/>
          <w:i w:val="0"/>
          <w:color w:val="000000" w:themeColor="text1"/>
          <w:sz w:val="20"/>
          <w:szCs w:val="20"/>
        </w:rPr>
        <w:t>).</w:t>
      </w:r>
    </w:p>
    <w:p w:rsidR="00615C15" w:rsidRPr="00615C15" w:rsidRDefault="00615C15" w:rsidP="00615C15">
      <w:pPr>
        <w:pStyle w:val="NormalWeb"/>
        <w:numPr>
          <w:ilvl w:val="0"/>
          <w:numId w:val="1"/>
        </w:numPr>
        <w:spacing w:before="0" w:beforeAutospacing="0" w:after="120" w:afterAutospacing="0"/>
        <w:ind w:left="342" w:hanging="270"/>
        <w:rPr>
          <w:rFonts w:ascii="Arial" w:hAnsi="Arial" w:cs="Arial"/>
          <w:color w:val="000000" w:themeColor="text1"/>
          <w:sz w:val="20"/>
          <w:szCs w:val="20"/>
        </w:rPr>
      </w:pPr>
      <w:r w:rsidRPr="00615C15">
        <w:rPr>
          <w:rFonts w:ascii="Arial" w:hAnsi="Arial" w:cs="Arial"/>
          <w:color w:val="000000" w:themeColor="text1"/>
          <w:sz w:val="20"/>
          <w:szCs w:val="20"/>
        </w:rPr>
        <w:t xml:space="preserve">Rather than relying only on </w:t>
      </w:r>
      <w:proofErr w:type="spellStart"/>
      <w:r w:rsidRPr="00615C15">
        <w:rPr>
          <w:rFonts w:ascii="Arial" w:hAnsi="Arial" w:cs="Arial"/>
          <w:color w:val="000000" w:themeColor="text1"/>
          <w:sz w:val="20"/>
          <w:szCs w:val="20"/>
        </w:rPr>
        <w:t>Lexile</w:t>
      </w:r>
      <w:proofErr w:type="spellEnd"/>
      <w:r w:rsidRPr="00615C15">
        <w:rPr>
          <w:rFonts w:ascii="Arial" w:hAnsi="Arial" w:cs="Arial"/>
          <w:color w:val="000000" w:themeColor="text1"/>
          <w:sz w:val="20"/>
          <w:szCs w:val="20"/>
        </w:rPr>
        <w:t xml:space="preserve"> ranges for quantitative text complexity measures, as the original Appendix A does, the new scale incorporates seven different text complexity tools, which were identified on a chart provided during the Summer Institute. Teachers are able to use any one of the measures for determining text readability, as they were all found to be reliable. </w:t>
      </w:r>
    </w:p>
    <w:p w:rsidR="00615C15" w:rsidRPr="00615C15" w:rsidRDefault="00615C15" w:rsidP="00615C15">
      <w:pPr>
        <w:pStyle w:val="NormalWeb"/>
        <w:numPr>
          <w:ilvl w:val="0"/>
          <w:numId w:val="1"/>
        </w:numPr>
        <w:spacing w:before="0" w:beforeAutospacing="0" w:after="120" w:afterAutospacing="0"/>
        <w:ind w:left="342" w:hanging="270"/>
        <w:rPr>
          <w:rFonts w:ascii="Arial" w:hAnsi="Arial" w:cs="Arial"/>
          <w:color w:val="000000" w:themeColor="text1"/>
          <w:sz w:val="20"/>
          <w:szCs w:val="20"/>
        </w:rPr>
      </w:pPr>
      <w:r w:rsidRPr="00615C15">
        <w:rPr>
          <w:rFonts w:ascii="Arial" w:hAnsi="Arial" w:cs="Arial"/>
          <w:color w:val="000000" w:themeColor="text1"/>
          <w:sz w:val="20"/>
          <w:szCs w:val="20"/>
        </w:rPr>
        <w:t>Building on the new research, this document recommends that the quantitative tools be used first to place texts within a grade band (e.g. grade 4-5) and the qualitative measures (determined by using the rubric provided during the Summer Institute or the scale provided in this document and teacher collaboration and discussion) be used to locate a text more specifically within a band, i.e., beginning of grade 4, end of grade 5, etc.</w:t>
      </w:r>
    </w:p>
    <w:p w:rsidR="00615C15" w:rsidRPr="00615C15" w:rsidRDefault="00615C15" w:rsidP="00615C15">
      <w:pPr>
        <w:pStyle w:val="NormalWeb"/>
        <w:numPr>
          <w:ilvl w:val="0"/>
          <w:numId w:val="1"/>
        </w:numPr>
        <w:spacing w:before="0" w:beforeAutospacing="0" w:after="120" w:afterAutospacing="0"/>
        <w:ind w:left="342" w:hanging="270"/>
        <w:rPr>
          <w:rFonts w:ascii="Arial" w:hAnsi="Arial" w:cs="Arial"/>
          <w:sz w:val="20"/>
          <w:szCs w:val="20"/>
        </w:rPr>
      </w:pPr>
      <w:r w:rsidRPr="00615C15">
        <w:rPr>
          <w:rFonts w:ascii="Arial" w:hAnsi="Arial" w:cs="Arial"/>
          <w:color w:val="000000" w:themeColor="text1"/>
          <w:sz w:val="20"/>
          <w:szCs w:val="20"/>
        </w:rPr>
        <w:t>Quantitative tools cannot currently analyze drama and poetry, so the grade level of texts in these genres must be determined with qualitative measures and teacher collaboration and discussion alone.</w:t>
      </w:r>
    </w:p>
    <w:p w:rsidR="00615C15" w:rsidRPr="00615C15" w:rsidRDefault="00615C15" w:rsidP="00615C15">
      <w:pPr>
        <w:pStyle w:val="NormalWeb"/>
        <w:numPr>
          <w:ilvl w:val="0"/>
          <w:numId w:val="1"/>
        </w:numPr>
        <w:spacing w:before="0" w:beforeAutospacing="0" w:after="120" w:afterAutospacing="0"/>
        <w:ind w:left="342" w:hanging="270"/>
        <w:rPr>
          <w:rFonts w:ascii="Arial" w:hAnsi="Arial" w:cs="Arial"/>
          <w:sz w:val="20"/>
          <w:szCs w:val="20"/>
        </w:rPr>
      </w:pPr>
      <w:r>
        <w:rPr>
          <w:rFonts w:ascii="Arial" w:hAnsi="Arial" w:cs="Arial"/>
          <w:color w:val="000000" w:themeColor="text1"/>
          <w:sz w:val="20"/>
          <w:szCs w:val="20"/>
        </w:rPr>
        <w:t xml:space="preserve">This </w:t>
      </w:r>
      <w:r w:rsidRPr="00615C15">
        <w:rPr>
          <w:rFonts w:ascii="Arial" w:hAnsi="Arial" w:cs="Arial"/>
          <w:color w:val="000000" w:themeColor="text1"/>
          <w:sz w:val="20"/>
          <w:szCs w:val="20"/>
        </w:rPr>
        <w:t>revision in no way minimizes the role of teacher judgment in selecting texts. It is essential that teachers of the same grade level and across different grade levels meet and discuss the texts they are selecting for instruction. Additionally, once a text has been determined sufficiently complex for a particular grade, a teacher should use the Reader and Task Considerations to plan for instruction of the text.</w:t>
      </w:r>
    </w:p>
    <w:sectPr w:rsidR="00615C15" w:rsidRPr="00615C15" w:rsidSect="001C0E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E76C4"/>
    <w:multiLevelType w:val="hybridMultilevel"/>
    <w:tmpl w:val="C8ACE6A2"/>
    <w:lvl w:ilvl="0" w:tplc="80DAAFA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DisplayPageBoundaries/>
  <w:proofState w:spelling="clean" w:grammar="clean"/>
  <w:defaultTabStop w:val="720"/>
  <w:characterSpacingControl w:val="doNotCompress"/>
  <w:compat/>
  <w:rsids>
    <w:rsidRoot w:val="00615C15"/>
    <w:rsid w:val="001C0E81"/>
    <w:rsid w:val="00615C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C15"/>
    <w:rPr>
      <w:color w:val="0000FF"/>
      <w:u w:val="single"/>
    </w:rPr>
  </w:style>
  <w:style w:type="paragraph" w:styleId="NormalWeb">
    <w:name w:val="Normal (Web)"/>
    <w:basedOn w:val="Normal"/>
    <w:uiPriority w:val="99"/>
    <w:unhideWhenUsed/>
    <w:rsid w:val="00615C15"/>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615C1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estandards.org/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1482</Characters>
  <Application>Microsoft Office Word</Application>
  <DocSecurity>0</DocSecurity>
  <Lines>12</Lines>
  <Paragraphs>3</Paragraphs>
  <ScaleCrop>false</ScaleCrop>
  <Company>LDOE</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ldoe</dc:creator>
  <cp:keywords/>
  <dc:description/>
  <cp:lastModifiedBy>ldoe</cp:lastModifiedBy>
  <cp:revision>1</cp:revision>
  <dcterms:created xsi:type="dcterms:W3CDTF">2012-08-31T16:18:00Z</dcterms:created>
  <dcterms:modified xsi:type="dcterms:W3CDTF">2012-08-31T16:21:00Z</dcterms:modified>
</cp:coreProperties>
</file>