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B1" w:rsidRDefault="002E02B1"/>
    <w:p w:rsidR="009C5BE6" w:rsidRDefault="009C5BE6"/>
    <w:p w:rsidR="009C5BE6" w:rsidRDefault="009C5BE6"/>
    <w:p w:rsidR="00145B4E" w:rsidRDefault="00145B4E" w:rsidP="00145B4E">
      <w:pPr>
        <w:rPr>
          <w:rFonts w:ascii="Futura Lt BT" w:hAnsi="Futura Lt BT" w:cs="Tahoma"/>
        </w:rPr>
      </w:pP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 xml:space="preserve">June </w:t>
      </w:r>
      <w:r>
        <w:rPr>
          <w:rFonts w:ascii="Futura Lt BT" w:hAnsi="Futura Lt BT" w:cs="Tahoma"/>
          <w:sz w:val="24"/>
          <w:szCs w:val="24"/>
        </w:rPr>
        <w:t>26</w:t>
      </w:r>
      <w:r w:rsidRPr="00AE1C59">
        <w:rPr>
          <w:rFonts w:ascii="Futura Lt BT" w:hAnsi="Futura Lt BT" w:cs="Tahoma"/>
          <w:sz w:val="24"/>
          <w:szCs w:val="24"/>
        </w:rPr>
        <w:t>, 201</w:t>
      </w:r>
      <w:r>
        <w:rPr>
          <w:rFonts w:ascii="Futura Lt BT" w:hAnsi="Futura Lt BT" w:cs="Tahoma"/>
          <w:sz w:val="24"/>
          <w:szCs w:val="24"/>
        </w:rPr>
        <w:t>3</w:t>
      </w:r>
    </w:p>
    <w:p w:rsidR="00145B4E" w:rsidRDefault="00145B4E" w:rsidP="00145B4E">
      <w:pPr>
        <w:rPr>
          <w:rFonts w:ascii="Futura Lt BT" w:hAnsi="Futura Lt BT" w:cs="Tahoma"/>
          <w:sz w:val="24"/>
          <w:szCs w:val="24"/>
        </w:rPr>
      </w:pPr>
    </w:p>
    <w:p w:rsidR="00145B4E" w:rsidRDefault="00145B4E" w:rsidP="00145B4E">
      <w:pPr>
        <w:rPr>
          <w:rFonts w:ascii="Futura Lt BT" w:hAnsi="Futura Lt BT" w:cs="Tahoma"/>
          <w:sz w:val="24"/>
          <w:szCs w:val="24"/>
        </w:rPr>
      </w:pP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</w:p>
    <w:p w:rsidR="00145B4E" w:rsidRPr="00AE1C59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 xml:space="preserve">The Honorable </w:t>
      </w:r>
      <w:r>
        <w:rPr>
          <w:rFonts w:ascii="Futura Lt BT" w:hAnsi="Futura Lt BT" w:cs="Tahoma"/>
          <w:sz w:val="24"/>
          <w:szCs w:val="24"/>
        </w:rPr>
        <w:t xml:space="preserve">Conrad </w:t>
      </w:r>
      <w:proofErr w:type="spellStart"/>
      <w:r>
        <w:rPr>
          <w:rFonts w:ascii="Futura Lt BT" w:hAnsi="Futura Lt BT" w:cs="Tahoma"/>
          <w:sz w:val="24"/>
          <w:szCs w:val="24"/>
        </w:rPr>
        <w:t>Appel</w:t>
      </w:r>
      <w:proofErr w:type="spellEnd"/>
      <w:r w:rsidRPr="00AE1C59">
        <w:rPr>
          <w:rFonts w:ascii="Futura Lt BT" w:hAnsi="Futura Lt BT" w:cs="Tahoma"/>
          <w:sz w:val="24"/>
          <w:szCs w:val="24"/>
        </w:rPr>
        <w:t>, Chairman</w:t>
      </w:r>
    </w:p>
    <w:p w:rsidR="00145B4E" w:rsidRPr="00AE1C59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  <w:r>
        <w:rPr>
          <w:rFonts w:ascii="Futura Lt BT" w:hAnsi="Futura Lt BT" w:cs="Tahoma"/>
          <w:sz w:val="24"/>
          <w:szCs w:val="24"/>
        </w:rPr>
        <w:t xml:space="preserve">Senate </w:t>
      </w:r>
      <w:r w:rsidRPr="00AE1C59">
        <w:rPr>
          <w:rFonts w:ascii="Futura Lt BT" w:hAnsi="Futura Lt BT" w:cs="Tahoma"/>
          <w:sz w:val="24"/>
          <w:szCs w:val="24"/>
        </w:rPr>
        <w:t>Education Committee</w:t>
      </w:r>
    </w:p>
    <w:p w:rsidR="00145B4E" w:rsidRPr="00AE1C59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>P. O. Box 94183</w:t>
      </w:r>
    </w:p>
    <w:p w:rsidR="00145B4E" w:rsidRPr="00AE1C59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>Baton Rouge, LA  70804</w:t>
      </w:r>
    </w:p>
    <w:p w:rsidR="00145B4E" w:rsidRPr="00AE1C59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</w:p>
    <w:p w:rsidR="00145B4E" w:rsidRPr="00AE1C59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 xml:space="preserve">Dear </w:t>
      </w:r>
      <w:r>
        <w:rPr>
          <w:rFonts w:ascii="Futura Lt BT" w:hAnsi="Futura Lt BT" w:cs="Tahoma"/>
          <w:sz w:val="24"/>
          <w:szCs w:val="24"/>
        </w:rPr>
        <w:t xml:space="preserve">Senator </w:t>
      </w:r>
      <w:proofErr w:type="spellStart"/>
      <w:r>
        <w:rPr>
          <w:rFonts w:ascii="Futura Lt BT" w:hAnsi="Futura Lt BT" w:cs="Tahoma"/>
          <w:sz w:val="24"/>
          <w:szCs w:val="24"/>
        </w:rPr>
        <w:t>Appel</w:t>
      </w:r>
      <w:proofErr w:type="spellEnd"/>
      <w:r w:rsidRPr="00AE1C59">
        <w:rPr>
          <w:rFonts w:ascii="Futura Lt BT" w:hAnsi="Futura Lt BT" w:cs="Tahoma"/>
          <w:sz w:val="24"/>
          <w:szCs w:val="24"/>
        </w:rPr>
        <w:t>:</w:t>
      </w:r>
    </w:p>
    <w:p w:rsidR="00145B4E" w:rsidRPr="00AE1C59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</w:p>
    <w:p w:rsidR="00145B4E" w:rsidRPr="00AE1C59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>Enclosed is the “Louisiana Minimum Foundation Program (MFP) Accountability Report</w:t>
      </w:r>
      <w:r>
        <w:rPr>
          <w:rFonts w:ascii="Futura Lt BT" w:hAnsi="Futura Lt BT" w:cs="Tahoma"/>
          <w:sz w:val="24"/>
          <w:szCs w:val="24"/>
        </w:rPr>
        <w:t>.</w:t>
      </w:r>
      <w:r w:rsidRPr="00AE1C59">
        <w:rPr>
          <w:rFonts w:ascii="Futura Lt BT" w:hAnsi="Futura Lt BT" w:cs="Tahoma"/>
          <w:sz w:val="24"/>
          <w:szCs w:val="24"/>
        </w:rPr>
        <w:t xml:space="preserve">” This report has been prepared to comply with HCR </w:t>
      </w:r>
      <w:r>
        <w:rPr>
          <w:rFonts w:ascii="Futura Lt BT" w:hAnsi="Futura Lt BT" w:cs="Tahoma"/>
          <w:sz w:val="24"/>
          <w:szCs w:val="24"/>
        </w:rPr>
        <w:t>130</w:t>
      </w:r>
      <w:r w:rsidRPr="00AE1C59">
        <w:rPr>
          <w:rFonts w:ascii="Futura Lt BT" w:hAnsi="Futura Lt BT" w:cs="Tahoma"/>
          <w:sz w:val="24"/>
          <w:szCs w:val="24"/>
        </w:rPr>
        <w:t xml:space="preserve"> of the 201</w:t>
      </w:r>
      <w:r>
        <w:rPr>
          <w:rFonts w:ascii="Futura Lt BT" w:hAnsi="Futura Lt BT" w:cs="Tahoma"/>
          <w:sz w:val="24"/>
          <w:szCs w:val="24"/>
        </w:rPr>
        <w:t>1</w:t>
      </w:r>
      <w:r w:rsidRPr="00AE1C59">
        <w:rPr>
          <w:rFonts w:ascii="Futura Lt BT" w:hAnsi="Futura Lt BT" w:cs="Tahoma"/>
          <w:sz w:val="24"/>
          <w:szCs w:val="24"/>
        </w:rPr>
        <w:t xml:space="preserve"> Regular Session of the Legislature, </w:t>
      </w:r>
      <w:r>
        <w:rPr>
          <w:rFonts w:ascii="Futura Lt BT" w:hAnsi="Futura Lt BT" w:cs="Tahoma"/>
          <w:sz w:val="24"/>
          <w:szCs w:val="24"/>
        </w:rPr>
        <w:t xml:space="preserve">the MFP Resolution, </w:t>
      </w:r>
      <w:r w:rsidRPr="00AE1C59">
        <w:rPr>
          <w:rFonts w:ascii="Futura Lt BT" w:hAnsi="Futura Lt BT" w:cs="Tahoma"/>
          <w:sz w:val="24"/>
          <w:szCs w:val="24"/>
        </w:rPr>
        <w:t>specifically, Section X</w:t>
      </w:r>
      <w:r>
        <w:rPr>
          <w:rFonts w:ascii="Futura Lt BT" w:hAnsi="Futura Lt BT" w:cs="Tahoma"/>
          <w:sz w:val="24"/>
          <w:szCs w:val="24"/>
        </w:rPr>
        <w:t>I</w:t>
      </w:r>
      <w:r w:rsidRPr="00AE1C59">
        <w:rPr>
          <w:rFonts w:ascii="Futura Lt BT" w:hAnsi="Futura Lt BT" w:cs="Tahoma"/>
          <w:sz w:val="24"/>
          <w:szCs w:val="24"/>
        </w:rPr>
        <w:t>I (A) Accountability for School Performance.</w:t>
      </w:r>
    </w:p>
    <w:p w:rsidR="00145B4E" w:rsidRPr="00AE1C59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</w:p>
    <w:p w:rsidR="00145B4E" w:rsidRPr="00AE1C59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 xml:space="preserve">Criteria set forth in HCR </w:t>
      </w:r>
      <w:r>
        <w:rPr>
          <w:rFonts w:ascii="Futura Lt BT" w:hAnsi="Futura Lt BT" w:cs="Tahoma"/>
          <w:sz w:val="24"/>
          <w:szCs w:val="24"/>
        </w:rPr>
        <w:t>130</w:t>
      </w:r>
      <w:r w:rsidRPr="00AE1C59">
        <w:rPr>
          <w:rFonts w:ascii="Futura Lt BT" w:hAnsi="Futura Lt BT" w:cs="Tahoma"/>
          <w:sz w:val="24"/>
          <w:szCs w:val="24"/>
        </w:rPr>
        <w:t xml:space="preserve"> require that certain data be reported on each school recognized by the Louisiana Department of Education.  Utilizing school year </w:t>
      </w:r>
      <w:r>
        <w:rPr>
          <w:rFonts w:ascii="Futura Lt BT" w:hAnsi="Futura Lt BT" w:cs="Tahoma"/>
          <w:sz w:val="24"/>
          <w:szCs w:val="24"/>
        </w:rPr>
        <w:t>2011-12</w:t>
      </w:r>
      <w:r w:rsidRPr="00AE1C59">
        <w:rPr>
          <w:rFonts w:ascii="Futura Lt BT" w:hAnsi="Futura Lt BT" w:cs="Tahoma"/>
          <w:sz w:val="24"/>
          <w:szCs w:val="24"/>
        </w:rPr>
        <w:t xml:space="preserve"> information, specific information included in the report</w:t>
      </w:r>
      <w:r>
        <w:rPr>
          <w:rFonts w:ascii="Futura Lt BT" w:hAnsi="Futura Lt BT" w:cs="Tahoma"/>
          <w:sz w:val="24"/>
          <w:szCs w:val="24"/>
        </w:rPr>
        <w:t xml:space="preserve">, by school, </w:t>
      </w:r>
      <w:r w:rsidRPr="00AE1C59">
        <w:rPr>
          <w:rFonts w:ascii="Futura Lt BT" w:hAnsi="Futura Lt BT" w:cs="Tahoma"/>
          <w:sz w:val="24"/>
          <w:szCs w:val="24"/>
        </w:rPr>
        <w:t>is as follows:</w:t>
      </w:r>
    </w:p>
    <w:p w:rsidR="00145B4E" w:rsidRPr="00AE1C59" w:rsidRDefault="00145B4E" w:rsidP="00145B4E">
      <w:pPr>
        <w:jc w:val="both"/>
        <w:rPr>
          <w:rFonts w:ascii="Futura Lt BT" w:hAnsi="Futura Lt BT" w:cs="Tahoma"/>
          <w:bCs/>
          <w:sz w:val="24"/>
          <w:szCs w:val="24"/>
        </w:rPr>
      </w:pPr>
    </w:p>
    <w:p w:rsidR="00145B4E" w:rsidRPr="00AE1C59" w:rsidRDefault="00145B4E" w:rsidP="00145B4E">
      <w:pPr>
        <w:numPr>
          <w:ilvl w:val="0"/>
          <w:numId w:val="1"/>
        </w:numPr>
        <w:jc w:val="both"/>
        <w:rPr>
          <w:rFonts w:ascii="Futura Lt BT" w:hAnsi="Futura Lt BT" w:cs="Tahoma"/>
          <w:bCs/>
          <w:sz w:val="24"/>
          <w:szCs w:val="24"/>
        </w:rPr>
      </w:pPr>
      <w:r w:rsidRPr="00AE1C59">
        <w:rPr>
          <w:rFonts w:ascii="Futura Lt BT" w:hAnsi="Futura Lt BT" w:cs="Tahoma"/>
          <w:bCs/>
          <w:sz w:val="24"/>
          <w:szCs w:val="24"/>
        </w:rPr>
        <w:t>School Data – School name, city, and district; Type of school; October 1 elementary/secondary enrollment; and grade span.</w:t>
      </w:r>
    </w:p>
    <w:p w:rsidR="00145B4E" w:rsidRPr="00AE1C59" w:rsidRDefault="00145B4E" w:rsidP="00145B4E">
      <w:pPr>
        <w:numPr>
          <w:ilvl w:val="0"/>
          <w:numId w:val="1"/>
        </w:numPr>
        <w:jc w:val="both"/>
        <w:rPr>
          <w:rFonts w:ascii="Futura Lt BT" w:hAnsi="Futura Lt BT" w:cs="Tahoma"/>
          <w:bCs/>
          <w:sz w:val="24"/>
          <w:szCs w:val="24"/>
        </w:rPr>
      </w:pPr>
      <w:r w:rsidRPr="00AE1C59">
        <w:rPr>
          <w:rFonts w:ascii="Futura Lt BT" w:hAnsi="Futura Lt BT" w:cs="Tahoma"/>
          <w:bCs/>
          <w:sz w:val="24"/>
          <w:szCs w:val="24"/>
        </w:rPr>
        <w:t>Accountability Data – scores and labels.</w:t>
      </w:r>
    </w:p>
    <w:p w:rsidR="00145B4E" w:rsidRPr="00AE1C59" w:rsidRDefault="00145B4E" w:rsidP="00145B4E">
      <w:pPr>
        <w:numPr>
          <w:ilvl w:val="0"/>
          <w:numId w:val="1"/>
        </w:numPr>
        <w:jc w:val="both"/>
        <w:rPr>
          <w:rFonts w:ascii="Futura Lt BT" w:hAnsi="Futura Lt BT" w:cs="Tahoma"/>
          <w:bCs/>
          <w:sz w:val="24"/>
          <w:szCs w:val="24"/>
        </w:rPr>
      </w:pPr>
      <w:r w:rsidRPr="00AE1C59">
        <w:rPr>
          <w:rFonts w:ascii="Futura Lt BT" w:hAnsi="Futura Lt BT" w:cs="Tahoma"/>
          <w:bCs/>
          <w:sz w:val="24"/>
          <w:szCs w:val="24"/>
        </w:rPr>
        <w:t>Fiscal Data – expenditures per elementary/secondary enrollment for classroom instruction (less adult education) and pupil/instruction support.</w:t>
      </w:r>
    </w:p>
    <w:p w:rsidR="00145B4E" w:rsidRPr="00AE1C59" w:rsidRDefault="00145B4E" w:rsidP="00145B4E">
      <w:pPr>
        <w:numPr>
          <w:ilvl w:val="0"/>
          <w:numId w:val="1"/>
        </w:numPr>
        <w:jc w:val="both"/>
        <w:rPr>
          <w:rFonts w:ascii="Futura Lt BT" w:hAnsi="Futura Lt BT" w:cs="Tahoma"/>
          <w:bCs/>
          <w:sz w:val="24"/>
          <w:szCs w:val="24"/>
        </w:rPr>
      </w:pPr>
      <w:r w:rsidRPr="00AE1C59">
        <w:rPr>
          <w:rFonts w:ascii="Futura Lt BT" w:hAnsi="Futura Lt BT" w:cs="Tahoma"/>
          <w:bCs/>
          <w:sz w:val="24"/>
          <w:szCs w:val="24"/>
        </w:rPr>
        <w:t xml:space="preserve">Student Demographic Data – percent of students eligible for free and/or reduced lunch (“at-risk”), students with exceptionalities (special </w:t>
      </w:r>
      <w:proofErr w:type="spellStart"/>
      <w:r w:rsidRPr="00AE1C59">
        <w:rPr>
          <w:rFonts w:ascii="Futura Lt BT" w:hAnsi="Futura Lt BT" w:cs="Tahoma"/>
          <w:bCs/>
          <w:sz w:val="24"/>
          <w:szCs w:val="24"/>
        </w:rPr>
        <w:t>ed</w:t>
      </w:r>
      <w:proofErr w:type="spellEnd"/>
      <w:r w:rsidRPr="00AE1C59">
        <w:rPr>
          <w:rFonts w:ascii="Futura Lt BT" w:hAnsi="Futura Lt BT" w:cs="Tahoma"/>
          <w:bCs/>
          <w:sz w:val="24"/>
          <w:szCs w:val="24"/>
        </w:rPr>
        <w:t>), gifted/talented, and minority; advanced placement data; student attendance rates; and pupil-teacher ratios.</w:t>
      </w:r>
    </w:p>
    <w:p w:rsidR="00145B4E" w:rsidRPr="00AE1C59" w:rsidRDefault="00145B4E" w:rsidP="00145B4E">
      <w:pPr>
        <w:numPr>
          <w:ilvl w:val="0"/>
          <w:numId w:val="1"/>
        </w:numPr>
        <w:jc w:val="both"/>
        <w:rPr>
          <w:rFonts w:ascii="Futura Lt BT" w:hAnsi="Futura Lt BT" w:cs="Tahoma"/>
          <w:bCs/>
          <w:sz w:val="24"/>
          <w:szCs w:val="24"/>
        </w:rPr>
      </w:pPr>
      <w:r w:rsidRPr="00AE1C59">
        <w:rPr>
          <w:rFonts w:ascii="Futura Lt BT" w:hAnsi="Futura Lt BT" w:cs="Tahoma"/>
          <w:bCs/>
          <w:sz w:val="24"/>
          <w:szCs w:val="24"/>
        </w:rPr>
        <w:t>Teacher data – Average FTE teacher salaries (object 112, function 1000 series); percent of teachers certified; average years of experience; percent master’s degree and above; percent turnover; percent Minority; and teachers’ days absent.  All teacher data (excluding salaries) reported for certified teachers.</w:t>
      </w:r>
    </w:p>
    <w:p w:rsidR="00145B4E" w:rsidRPr="00AE1C59" w:rsidRDefault="00145B4E" w:rsidP="00145B4E">
      <w:pPr>
        <w:numPr>
          <w:ilvl w:val="0"/>
          <w:numId w:val="1"/>
        </w:numPr>
        <w:jc w:val="both"/>
        <w:rPr>
          <w:rFonts w:ascii="Futura Lt BT" w:hAnsi="Futura Lt BT" w:cs="Tahoma"/>
          <w:bCs/>
          <w:sz w:val="24"/>
          <w:szCs w:val="24"/>
        </w:rPr>
      </w:pPr>
      <w:r w:rsidRPr="00AE1C59">
        <w:rPr>
          <w:rFonts w:ascii="Futura Lt BT" w:hAnsi="Futura Lt BT" w:cs="Tahoma"/>
          <w:bCs/>
          <w:sz w:val="24"/>
          <w:szCs w:val="24"/>
        </w:rPr>
        <w:t>Staffing data – number per 1</w:t>
      </w:r>
      <w:r>
        <w:rPr>
          <w:rFonts w:ascii="Futura Lt BT" w:hAnsi="Futura Lt BT" w:cs="Tahoma"/>
          <w:bCs/>
          <w:sz w:val="24"/>
          <w:szCs w:val="24"/>
        </w:rPr>
        <w:t>,</w:t>
      </w:r>
      <w:r w:rsidRPr="00AE1C59">
        <w:rPr>
          <w:rFonts w:ascii="Futura Lt BT" w:hAnsi="Futura Lt BT" w:cs="Tahoma"/>
          <w:bCs/>
          <w:sz w:val="24"/>
          <w:szCs w:val="24"/>
        </w:rPr>
        <w:t>000 pupils for certified teachers, uncertified teachers, and instructional aides.</w:t>
      </w:r>
    </w:p>
    <w:p w:rsidR="00145B4E" w:rsidRPr="00AE1C59" w:rsidRDefault="00145B4E" w:rsidP="00145B4E">
      <w:pPr>
        <w:jc w:val="both"/>
        <w:rPr>
          <w:rFonts w:ascii="Futura Lt BT" w:hAnsi="Futura Lt BT" w:cs="Tahoma"/>
          <w:bCs/>
          <w:sz w:val="24"/>
          <w:szCs w:val="24"/>
        </w:rPr>
      </w:pPr>
    </w:p>
    <w:p w:rsidR="00145B4E" w:rsidRPr="00AE1C59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 xml:space="preserve">A print copy of the </w:t>
      </w:r>
      <w:r>
        <w:rPr>
          <w:rFonts w:ascii="Futura Lt BT" w:hAnsi="Futura Lt BT" w:cs="Tahoma"/>
          <w:sz w:val="24"/>
          <w:szCs w:val="24"/>
        </w:rPr>
        <w:t>MFP Accountability Report is enclosed with this letter</w:t>
      </w:r>
      <w:r w:rsidRPr="00AE1C59">
        <w:rPr>
          <w:rFonts w:ascii="Futura Lt BT" w:hAnsi="Futura Lt BT" w:cs="Tahoma"/>
          <w:sz w:val="24"/>
          <w:szCs w:val="24"/>
        </w:rPr>
        <w:t xml:space="preserve">.  </w:t>
      </w:r>
      <w:r>
        <w:rPr>
          <w:rFonts w:ascii="Futura Lt BT" w:hAnsi="Futura Lt BT" w:cs="Tahoma"/>
          <w:sz w:val="24"/>
          <w:szCs w:val="24"/>
        </w:rPr>
        <w:t xml:space="preserve">Legislators and others that receive a copy of this letter may access the report on the Department of </w:t>
      </w:r>
      <w:r w:rsidRPr="00AE1C59">
        <w:rPr>
          <w:rFonts w:ascii="Futura Lt BT" w:hAnsi="Futura Lt BT" w:cs="Tahoma"/>
          <w:sz w:val="24"/>
          <w:szCs w:val="24"/>
        </w:rPr>
        <w:t>Education</w:t>
      </w:r>
      <w:r>
        <w:rPr>
          <w:rFonts w:ascii="Futura Lt BT" w:hAnsi="Futura Lt BT" w:cs="Tahoma"/>
          <w:sz w:val="24"/>
          <w:szCs w:val="24"/>
        </w:rPr>
        <w:t>’s</w:t>
      </w:r>
      <w:r w:rsidRPr="00AE1C59">
        <w:rPr>
          <w:rFonts w:ascii="Futura Lt BT" w:hAnsi="Futura Lt BT" w:cs="Tahoma"/>
          <w:sz w:val="24"/>
          <w:szCs w:val="24"/>
        </w:rPr>
        <w:t xml:space="preserve"> website at the following link:  </w:t>
      </w:r>
    </w:p>
    <w:p w:rsidR="00145B4E" w:rsidRPr="00AE1C59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</w:p>
    <w:p w:rsidR="00145B4E" w:rsidRDefault="001E21E5" w:rsidP="00145B4E">
      <w:pPr>
        <w:jc w:val="both"/>
        <w:rPr>
          <w:rFonts w:ascii="Futura Lt BT" w:hAnsi="Futura Lt BT" w:cs="Tahoma"/>
          <w:sz w:val="24"/>
          <w:szCs w:val="24"/>
        </w:rPr>
      </w:pPr>
      <w:hyperlink r:id="rId9" w:history="1">
        <w:r w:rsidR="00145B4E" w:rsidRPr="00D26D9D">
          <w:rPr>
            <w:rStyle w:val="Hyperlink"/>
            <w:rFonts w:ascii="Futura Lt BT" w:hAnsi="Futura Lt BT" w:cs="Tahoma"/>
            <w:sz w:val="24"/>
            <w:szCs w:val="24"/>
          </w:rPr>
          <w:t>http://www.louisianabelieves.com/resources/library/minimum-foundation-program</w:t>
        </w:r>
      </w:hyperlink>
      <w:r w:rsidR="00145B4E">
        <w:rPr>
          <w:rFonts w:ascii="Futura Lt BT" w:hAnsi="Futura Lt BT" w:cs="Tahoma"/>
          <w:sz w:val="24"/>
          <w:szCs w:val="24"/>
        </w:rPr>
        <w:t xml:space="preserve"> </w:t>
      </w:r>
    </w:p>
    <w:p w:rsidR="00145B4E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</w:p>
    <w:p w:rsidR="00145B4E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  <w:r>
        <w:rPr>
          <w:rFonts w:ascii="Futura Lt BT" w:hAnsi="Futura Lt BT" w:cs="Tahoma"/>
          <w:sz w:val="24"/>
          <w:szCs w:val="24"/>
        </w:rPr>
        <w:t xml:space="preserve">If you have any questions, or need further information, please </w:t>
      </w:r>
      <w:r w:rsidRPr="00AE1C59">
        <w:rPr>
          <w:rFonts w:ascii="Futura Lt BT" w:hAnsi="Futura Lt BT" w:cs="Tahoma"/>
          <w:sz w:val="24"/>
          <w:szCs w:val="24"/>
        </w:rPr>
        <w:t xml:space="preserve">contact </w:t>
      </w:r>
      <w:r>
        <w:rPr>
          <w:rFonts w:ascii="Futura Lt BT" w:hAnsi="Futura Lt BT" w:cs="Tahoma"/>
          <w:sz w:val="24"/>
          <w:szCs w:val="24"/>
        </w:rPr>
        <w:t>the Louisiana Department of Education.  You may call the Department’s toll-free number at 1-877-453-2721.</w:t>
      </w:r>
    </w:p>
    <w:p w:rsidR="00145B4E" w:rsidRPr="00AE1C59" w:rsidRDefault="00145B4E" w:rsidP="00145B4E">
      <w:pPr>
        <w:jc w:val="both"/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 xml:space="preserve">  </w:t>
      </w: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>Sincerely,</w:t>
      </w: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  <w:r>
        <w:rPr>
          <w:rFonts w:ascii="Futura Lt BT" w:hAnsi="Futura Lt BT" w:cs="Tahoma"/>
          <w:sz w:val="24"/>
          <w:szCs w:val="24"/>
        </w:rPr>
        <w:t>John White</w:t>
      </w: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>State Superintendent of Education</w:t>
      </w: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  <w:proofErr w:type="spellStart"/>
      <w:r>
        <w:rPr>
          <w:rFonts w:ascii="Futura Lt BT" w:hAnsi="Futura Lt BT" w:cs="Tahoma"/>
          <w:sz w:val="24"/>
          <w:szCs w:val="24"/>
        </w:rPr>
        <w:t>JW</w:t>
      </w:r>
      <w:proofErr w:type="gramStart"/>
      <w:r>
        <w:rPr>
          <w:rFonts w:ascii="Futura Lt BT" w:hAnsi="Futura Lt BT" w:cs="Tahoma"/>
          <w:sz w:val="24"/>
          <w:szCs w:val="24"/>
        </w:rPr>
        <w:t>:BS:CS:zm</w:t>
      </w:r>
      <w:proofErr w:type="spellEnd"/>
      <w:proofErr w:type="gramEnd"/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>Enclosure</w:t>
      </w: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>c:</w:t>
      </w:r>
      <w:r w:rsidRPr="00AE1C59">
        <w:rPr>
          <w:rFonts w:ascii="Futura Lt BT" w:hAnsi="Futura Lt BT" w:cs="Tahoma"/>
          <w:sz w:val="24"/>
          <w:szCs w:val="24"/>
        </w:rPr>
        <w:tab/>
        <w:t xml:space="preserve">Members, </w:t>
      </w:r>
      <w:r>
        <w:rPr>
          <w:rFonts w:ascii="Futura Lt BT" w:hAnsi="Futura Lt BT" w:cs="Tahoma"/>
          <w:sz w:val="24"/>
          <w:szCs w:val="24"/>
        </w:rPr>
        <w:t>Senate</w:t>
      </w:r>
      <w:r w:rsidRPr="00AE1C59">
        <w:rPr>
          <w:rFonts w:ascii="Futura Lt BT" w:hAnsi="Futura Lt BT" w:cs="Tahoma"/>
          <w:sz w:val="24"/>
          <w:szCs w:val="24"/>
        </w:rPr>
        <w:t xml:space="preserve"> Education Committee</w:t>
      </w: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ab/>
      </w:r>
      <w:r>
        <w:rPr>
          <w:rFonts w:ascii="Futura Lt BT" w:hAnsi="Futura Lt BT" w:cs="Tahoma"/>
          <w:bCs/>
          <w:color w:val="000000"/>
          <w:sz w:val="24"/>
          <w:szCs w:val="24"/>
        </w:rPr>
        <w:t xml:space="preserve">Stafford </w:t>
      </w:r>
      <w:proofErr w:type="spellStart"/>
      <w:r>
        <w:rPr>
          <w:rFonts w:ascii="Futura Lt BT" w:hAnsi="Futura Lt BT" w:cs="Tahoma"/>
          <w:bCs/>
          <w:color w:val="000000"/>
          <w:sz w:val="24"/>
          <w:szCs w:val="24"/>
        </w:rPr>
        <w:t>Palm</w:t>
      </w:r>
      <w:r w:rsidR="001E21E5">
        <w:rPr>
          <w:rFonts w:ascii="Futura Lt BT" w:hAnsi="Futura Lt BT" w:cs="Tahoma"/>
          <w:bCs/>
          <w:color w:val="000000"/>
          <w:sz w:val="24"/>
          <w:szCs w:val="24"/>
        </w:rPr>
        <w:t>ie</w:t>
      </w:r>
      <w:r>
        <w:rPr>
          <w:rFonts w:ascii="Futura Lt BT" w:hAnsi="Futura Lt BT" w:cs="Tahoma"/>
          <w:bCs/>
          <w:color w:val="000000"/>
          <w:sz w:val="24"/>
          <w:szCs w:val="24"/>
        </w:rPr>
        <w:t>ri</w:t>
      </w:r>
      <w:proofErr w:type="spellEnd"/>
      <w:r w:rsidRPr="00AE1C59">
        <w:rPr>
          <w:rFonts w:ascii="Futura Lt BT" w:hAnsi="Futura Lt BT" w:cs="Tahoma"/>
          <w:sz w:val="24"/>
          <w:szCs w:val="24"/>
        </w:rPr>
        <w:t>, Education Policy Advisor, Office of the Governor</w:t>
      </w: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ab/>
        <w:t>David Ray, Senate Finance Committee</w:t>
      </w:r>
    </w:p>
    <w:p w:rsidR="00145B4E" w:rsidRPr="00AE1C59" w:rsidRDefault="00145B4E" w:rsidP="00145B4E">
      <w:pPr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 w:cs="Tahoma"/>
          <w:sz w:val="24"/>
          <w:szCs w:val="24"/>
        </w:rPr>
        <w:tab/>
        <w:t xml:space="preserve">George </w:t>
      </w:r>
      <w:proofErr w:type="spellStart"/>
      <w:r w:rsidRPr="00AE1C59">
        <w:rPr>
          <w:rFonts w:ascii="Futura Lt BT" w:hAnsi="Futura Lt BT" w:cs="Tahoma"/>
          <w:sz w:val="24"/>
          <w:szCs w:val="24"/>
        </w:rPr>
        <w:t>Silbernagel</w:t>
      </w:r>
      <w:proofErr w:type="spellEnd"/>
      <w:r w:rsidRPr="00AE1C59">
        <w:rPr>
          <w:rFonts w:ascii="Futura Lt BT" w:hAnsi="Futura Lt BT" w:cs="Tahoma"/>
          <w:sz w:val="24"/>
          <w:szCs w:val="24"/>
        </w:rPr>
        <w:t>, House Appropriations Committee</w:t>
      </w:r>
    </w:p>
    <w:p w:rsidR="00145B4E" w:rsidRDefault="00145B4E" w:rsidP="00145B4E">
      <w:pPr>
        <w:rPr>
          <w:rFonts w:ascii="Futura Lt BT" w:hAnsi="Futura Lt BT" w:cs="Tahoma"/>
          <w:sz w:val="24"/>
          <w:szCs w:val="24"/>
        </w:rPr>
      </w:pPr>
      <w:r w:rsidRPr="00AE1C59">
        <w:rPr>
          <w:rFonts w:ascii="Futura Lt BT" w:hAnsi="Futura Lt BT"/>
          <w:sz w:val="24"/>
          <w:szCs w:val="24"/>
        </w:rPr>
        <w:tab/>
      </w:r>
      <w:r w:rsidRPr="00AE1C59">
        <w:rPr>
          <w:rFonts w:ascii="Futura Lt BT" w:hAnsi="Futura Lt BT" w:cs="Tahoma"/>
          <w:sz w:val="24"/>
          <w:szCs w:val="24"/>
        </w:rPr>
        <w:t>Parish/City School Superintendents</w:t>
      </w:r>
    </w:p>
    <w:p w:rsidR="00145B4E" w:rsidRPr="00AE1C59" w:rsidRDefault="00145B4E" w:rsidP="00145B4E">
      <w:pPr>
        <w:rPr>
          <w:rFonts w:ascii="Futura Lt BT" w:hAnsi="Futura Lt BT"/>
          <w:sz w:val="24"/>
          <w:szCs w:val="24"/>
        </w:rPr>
      </w:pPr>
      <w:r>
        <w:rPr>
          <w:rFonts w:ascii="Futura Lt BT" w:hAnsi="Futura Lt BT" w:cs="Tahoma"/>
          <w:sz w:val="24"/>
          <w:szCs w:val="24"/>
        </w:rPr>
        <w:tab/>
        <w:t xml:space="preserve">Charter School </w:t>
      </w:r>
      <w:r w:rsidRPr="00A639A0">
        <w:rPr>
          <w:rFonts w:ascii="Futura Lt BT" w:hAnsi="Futura Lt BT" w:cs="Tahoma"/>
          <w:sz w:val="24"/>
          <w:szCs w:val="24"/>
        </w:rPr>
        <w:t>Board Presidents</w:t>
      </w:r>
      <w:r>
        <w:rPr>
          <w:rFonts w:ascii="Futura Lt BT" w:hAnsi="Futura Lt BT" w:cs="Tahoma"/>
          <w:sz w:val="24"/>
          <w:szCs w:val="24"/>
        </w:rPr>
        <w:t xml:space="preserve"> (Type 2 and Type 5)</w:t>
      </w:r>
    </w:p>
    <w:p w:rsidR="00145B4E" w:rsidRPr="00076DE0" w:rsidRDefault="00145B4E" w:rsidP="00145B4E"/>
    <w:p w:rsidR="009C5BE6" w:rsidRDefault="009C5BE6"/>
    <w:p w:rsidR="009C5BE6" w:rsidRDefault="009C5BE6"/>
    <w:p w:rsidR="009C5BE6" w:rsidRDefault="009C5BE6"/>
    <w:p w:rsidR="009C5BE6" w:rsidRDefault="009C5BE6">
      <w:bookmarkStart w:id="0" w:name="_GoBack"/>
      <w:bookmarkEnd w:id="0"/>
    </w:p>
    <w:p w:rsidR="009C5BE6" w:rsidRDefault="009C5BE6"/>
    <w:p w:rsidR="009C5BE6" w:rsidRDefault="009C5BE6"/>
    <w:sectPr w:rsidR="009C5BE6" w:rsidSect="00687F61">
      <w:headerReference w:type="default" r:id="rId10"/>
      <w:footerReference w:type="even" r:id="rId11"/>
      <w:footerReference w:type="default" r:id="rId12"/>
      <w:pgSz w:w="12240" w:h="15840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E6" w:rsidRDefault="009C5BE6" w:rsidP="00F25FC5">
      <w:r>
        <w:separator/>
      </w:r>
    </w:p>
  </w:endnote>
  <w:endnote w:type="continuationSeparator" w:id="0">
    <w:p w:rsidR="009C5BE6" w:rsidRDefault="009C5BE6" w:rsidP="00F2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61" w:rsidRDefault="00687F6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433A48" wp14:editId="231FD684">
          <wp:simplePos x="0" y="0"/>
          <wp:positionH relativeFrom="column">
            <wp:posOffset>-675005</wp:posOffset>
          </wp:positionH>
          <wp:positionV relativeFrom="bottomMargin">
            <wp:posOffset>324122</wp:posOffset>
          </wp:positionV>
          <wp:extent cx="7315200" cy="758952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E6" w:rsidRDefault="009C5BE6" w:rsidP="002B6A27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8AFB16" wp14:editId="12CF70DC">
          <wp:simplePos x="914400" y="8835081"/>
          <wp:positionH relativeFrom="column">
            <wp:align>center</wp:align>
          </wp:positionH>
          <wp:positionV relativeFrom="bottomMargin">
            <wp:align>center</wp:align>
          </wp:positionV>
          <wp:extent cx="7315200" cy="758952"/>
          <wp:effectExtent l="0" t="0" r="0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E6" w:rsidRDefault="009C5BE6" w:rsidP="00F25FC5">
      <w:r>
        <w:separator/>
      </w:r>
    </w:p>
  </w:footnote>
  <w:footnote w:type="continuationSeparator" w:id="0">
    <w:p w:rsidR="009C5BE6" w:rsidRDefault="009C5BE6" w:rsidP="00F2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E6" w:rsidRDefault="009C5B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730D9" wp14:editId="05E9C72F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6858000" cy="8595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94E"/>
    <w:multiLevelType w:val="hybridMultilevel"/>
    <w:tmpl w:val="015EE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C5"/>
    <w:rsid w:val="00145B4E"/>
    <w:rsid w:val="001E21E5"/>
    <w:rsid w:val="002B6A27"/>
    <w:rsid w:val="002E02B1"/>
    <w:rsid w:val="00687F61"/>
    <w:rsid w:val="009C5BE6"/>
    <w:rsid w:val="00C552A8"/>
    <w:rsid w:val="00EB7FE8"/>
    <w:rsid w:val="00F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character" w:styleId="Hyperlink">
    <w:name w:val="Hyperlink"/>
    <w:rsid w:val="00145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character" w:styleId="Hyperlink">
    <w:name w:val="Hyperlink"/>
    <w:rsid w:val="00145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uisianabelieves.com/resources/library/minimum-foundation-progra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F766-02DB-4E98-95F1-AC28A4B7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Paula Matherne</cp:lastModifiedBy>
  <cp:revision>4</cp:revision>
  <cp:lastPrinted>2013-06-21T16:46:00Z</cp:lastPrinted>
  <dcterms:created xsi:type="dcterms:W3CDTF">2013-06-21T16:44:00Z</dcterms:created>
  <dcterms:modified xsi:type="dcterms:W3CDTF">2013-06-26T20:10:00Z</dcterms:modified>
</cp:coreProperties>
</file>